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 w:hint="cs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522A30" w:rsidRPr="003F4BBD" w:rsidRDefault="003F4BB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 w:hint="cs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 w:hint="cs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F4BBD">
        <w:rPr>
          <w:rFonts w:ascii="TH SarabunPSK" w:hAnsi="TH SarabunPSK" w:cs="TH SarabunPSK"/>
          <w:sz w:val="32"/>
          <w:szCs w:val="32"/>
        </w:rPr>
        <w:t>1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>ปี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F4BBD" w:rsidRDefault="00537F95" w:rsidP="00EA6AA2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 xml:space="preserve">ทฤษฎีและการวิเคราะห์เชิงวิพากษ์นโยบายการศึกษา การวางแผนเพิ่มประสิทธิภาพและประสิทธิผลการบริหารสถานศึกษา 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การกำหนดนโยบายและแผนกลยุทธ์และนำไปสู่การปฏิบัติ ให้สอดคล้องกับบริบทของสถานศึกษา การบริหารระบบการศึกษา กับความเชื่อ</w:t>
      </w:r>
      <w:r w:rsidR="00EA6AA2">
        <w:rPr>
          <w:rFonts w:ascii="TH Sarabun New" w:hAnsi="TH Sarabun New" w:cs="TH Sarabun New"/>
          <w:sz w:val="24"/>
          <w:szCs w:val="32"/>
          <w:cs/>
        </w:rPr>
        <w:t>มโยงกับระบบอื่นในสังคม การพัฒนา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ระบบการศึกษาเพื่อเสริมสร้างการพัฒนาเศรษฐกิจสังคมและสิ่งแวดล้อมที่ยั่งยืน การพัฒนาการบริหารระบบการศึกษาเพื่อเสริมสร้างพลเมืองดี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ประชาธิปไตยแบบมีส่วนร่วม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และความเข้าใจอันดีระหว่างประเทศ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การพัฒนาการบริหารระบบการศึกษาอย่างสร้างสรรค์และมีปรัชญา การพัฒนาการบริหารระบบการศึกษาอย่างมีเอกภาพและมีความหลากหลายในการปฏิบัติโดยให้สมาชิกขององค์กรมีส่วนร่วมในกิจกรรมต่างๆ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p w:rsidR="00FD3804" w:rsidRPr="00BB145E" w:rsidRDefault="00FD3804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</w:t>
      </w:r>
      <w:proofErr w:type="spellStart"/>
      <w:r w:rsidRPr="00BB145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B145E">
        <w:rPr>
          <w:rFonts w:ascii="TH SarabunPSK" w:hAnsi="TH SarabunPSK" w:cs="TH SarabunPSK"/>
          <w:sz w:val="32"/>
          <w:szCs w:val="32"/>
          <w:cs/>
        </w:rPr>
        <w:t>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F43AEB" w:rsidRPr="00D851F8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20"/>
          <w:szCs w:val="20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="00D851F8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</w:t>
      </w:r>
      <w:r w:rsidR="00D851F8" w:rsidRPr="00D851F8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F43AEB" w:rsidRPr="00B74641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lastRenderedPageBreak/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C944E3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C944E3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 w:hint="cs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E2B5C">
        <w:rPr>
          <w:rFonts w:ascii="TH Sarabun New" w:hAnsi="TH Sarabun New" w:cs="TH Sarabun New"/>
          <w:sz w:val="32"/>
          <w:szCs w:val="32"/>
          <w:cs/>
        </w:rPr>
        <w:t>กรุงเทพฯ :</w:t>
      </w:r>
      <w:proofErr w:type="gramEnd"/>
      <w:r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 w:hint="cs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สุ</w:t>
      </w:r>
      <w:proofErr w:type="spellStart"/>
      <w:r w:rsidRPr="003E2B5C">
        <w:rPr>
          <w:rFonts w:ascii="TH Sarabun New" w:hAnsi="TH Sarabun New" w:cs="TH Sarabun New"/>
          <w:sz w:val="32"/>
          <w:szCs w:val="32"/>
          <w:cs/>
        </w:rPr>
        <w:t>พานี</w:t>
      </w:r>
      <w:proofErr w:type="spellEnd"/>
      <w:r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3E2B5C">
        <w:rPr>
          <w:rFonts w:ascii="TH Sarabun New" w:hAnsi="TH Sarabun New" w:cs="TH Sarabun New"/>
          <w:sz w:val="32"/>
          <w:szCs w:val="32"/>
          <w:cs/>
        </w:rPr>
        <w:t>สฤษฎ์</w:t>
      </w:r>
      <w:proofErr w:type="spellEnd"/>
      <w:r w:rsidRPr="003E2B5C">
        <w:rPr>
          <w:rFonts w:ascii="TH Sarabun New" w:hAnsi="TH Sarabun New" w:cs="TH Sarabun New"/>
          <w:sz w:val="32"/>
          <w:szCs w:val="32"/>
          <w:cs/>
        </w:rPr>
        <w:t xml:space="preserve">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E2B5C">
        <w:rPr>
          <w:rFonts w:ascii="TH Sarabun New" w:hAnsi="TH Sarabun New" w:cs="TH Sarabun New"/>
          <w:sz w:val="32"/>
          <w:szCs w:val="32"/>
          <w:cs/>
        </w:rPr>
        <w:t>กรุงเทพฯ :</w:t>
      </w:r>
      <w:proofErr w:type="gramEnd"/>
      <w:r w:rsidRPr="003E2B5C">
        <w:rPr>
          <w:rFonts w:ascii="TH Sarabun New" w:hAnsi="TH Sarabun New" w:cs="TH Sarabun New"/>
          <w:sz w:val="32"/>
          <w:szCs w:val="32"/>
          <w:cs/>
        </w:rPr>
        <w:t xml:space="preserve">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a8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FA" w:rsidRDefault="00DD4BFA">
      <w:pPr>
        <w:spacing w:after="0" w:line="240" w:lineRule="auto"/>
      </w:pPr>
      <w:r>
        <w:separator/>
      </w:r>
    </w:p>
  </w:endnote>
  <w:endnote w:type="continuationSeparator" w:id="1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FA" w:rsidRDefault="00DD4BFA">
      <w:pPr>
        <w:spacing w:after="0" w:line="240" w:lineRule="auto"/>
      </w:pPr>
      <w:r>
        <w:separator/>
      </w:r>
    </w:p>
  </w:footnote>
  <w:footnote w:type="continuationSeparator" w:id="1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applyBreakingRules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66454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16C5"/>
    <w:rsid w:val="00F43AEB"/>
    <w:rsid w:val="00F73CBB"/>
    <w:rsid w:val="00FA3E5C"/>
    <w:rsid w:val="00FC58C2"/>
    <w:rsid w:val="00FC5B4E"/>
    <w:rsid w:val="00FD3804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31DA-015B-404F-84CB-D6A30950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1646</Words>
  <Characters>6920</Characters>
  <Application>Microsoft Office Word</Application>
  <DocSecurity>0</DocSecurity>
  <Lines>57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User</cp:lastModifiedBy>
  <cp:revision>28</cp:revision>
  <cp:lastPrinted>2015-05-25T04:56:00Z</cp:lastPrinted>
  <dcterms:created xsi:type="dcterms:W3CDTF">2015-01-23T04:12:00Z</dcterms:created>
  <dcterms:modified xsi:type="dcterms:W3CDTF">2019-05-25T09:42:00Z</dcterms:modified>
</cp:coreProperties>
</file>