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312BB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12BB7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0314503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การจัดการเรียนรู้และการจัดการชั้นเรียน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2BB7">
        <w:rPr>
          <w:rFonts w:ascii="TH SarabunPSK" w:hAnsi="TH SarabunPSK" w:cs="TH SarabunPSK"/>
          <w:b/>
          <w:bCs/>
          <w:sz w:val="44"/>
          <w:szCs w:val="44"/>
        </w:rPr>
        <w:t>Learning Management and Classroom Management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ประกาศนียบัตรบัณฑิตวิชาชีพครู 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ประกาศนียบัตรบัณฑิต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57544A" w:rsidRPr="00312BB7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312BB7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312BB7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57544A" w:rsidRPr="00312BB7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312BB7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312BB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0314503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การจัดการเรียนรู้และการจัดการชั้นเรียน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312BB7" w:rsidRDefault="00606C75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(Learning Management and Classroom Management)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6C75" w:rsidRPr="00312BB7" w:rsidRDefault="00606C75" w:rsidP="00606C75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ศึกษาแนวคิด ทฤษฏีการเรียนรู้และการสอน รูปแบบการเรียนรู้ การพัฒนารูปแบบ  การเรียน                การสอน  การออกแบบและการจัดประสบการณ์การเรียนรู้   เทคนิคและวิทยาการจัดการเรียนรู้แบบ                  ยึดผู้เรียนเป็นสำคัญ การบูรณาการเนื้อหาในกลุ่มสาระการเรียนรู้ การบูรณาการเรียนรู้แบบเรียนรวม                 การใช้และการผลิตสื่อ การพัฒนานวัตกรรมการเรียนรู้ การบูรณาการเรียนรู้ และการประเมินการเรียนรู้เพื่อสามารถออกแบบการเรียนรู้ และจัดกิจกรรมที่ส่งเสริมการเรียนรู้ของผู้เรียนและสามารถจำแนกระดับ                 การเรียนรู้จากการประเมินผล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ศึกษาแนวคิดการจัดการชั้นเรียน วินับและการพัฒนาวินัยนักเรียน การบริหารจัดการชั้นเรียน เทคนิคการคุมชั้นเรียน การประสานประโยชน์ในการจัดการชั้นเรียน สังเกต วิเคราะห์ปัญหาชั้นเรียนเป็นรายกรณี และฝึกการแก้ปัญหาการจัดการชั้นเรียนโดยใช้กระบวนการวิจัย สามารถนำนวัตกรรมใหม่ๆมาใช้ในการบริหารจัดการชั้นเรียน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312BB7" w:rsidRDefault="0057544A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57544A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312BB7" w:rsidRDefault="0057544A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57544A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312BB7" w:rsidRDefault="0057544A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57544A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312BB7" w:rsidRDefault="0057544A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57544A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312BB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312BB7" w:rsidRDefault="0057544A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57544A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312BB7" w:rsidRDefault="0057544A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57544A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312BB7" w:rsidRDefault="0057544A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57544A"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312BB7">
        <w:rPr>
          <w:rFonts w:ascii="TH SarabunPSK" w:hAnsi="TH SarabunPSK" w:cs="TH SarabunPSK"/>
          <w:sz w:val="32"/>
          <w:szCs w:val="32"/>
        </w:rPr>
        <w:t>2561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ชั้นปีที่ 1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2BB7">
        <w:rPr>
          <w:rFonts w:ascii="TH SarabunPSK" w:hAnsi="TH SarabunPSK" w:cs="TH SarabunPSK"/>
          <w:sz w:val="32"/>
          <w:szCs w:val="32"/>
        </w:rPr>
        <w:t xml:space="preserve">15 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312BB7">
        <w:rPr>
          <w:rFonts w:ascii="TH SarabunPSK" w:hAnsi="TH SarabunPSK" w:cs="TH SarabunPSK"/>
          <w:sz w:val="32"/>
          <w:szCs w:val="32"/>
        </w:rPr>
        <w:t xml:space="preserve">1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312BB7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606C75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ind w:left="851" w:firstLine="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เพื่อให้มีความรู้ความเข้าใจเกี่ยวกับความหมาย ความสำคัญของแนวคิดทฤษฏีการเรียนรู้</w:t>
      </w:r>
      <w:r w:rsidR="00235198" w:rsidRPr="00312BB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การสอนรูปแบบการเรียนรู้และการจัดการชั้นเรียน </w:t>
      </w:r>
      <w:r w:rsidRPr="00312BB7">
        <w:rPr>
          <w:rFonts w:ascii="TH SarabunPSK" w:hAnsi="TH SarabunPSK" w:cs="TH SarabunPSK"/>
          <w:sz w:val="32"/>
          <w:szCs w:val="32"/>
        </w:rPr>
        <w:t xml:space="preserve">  </w:t>
      </w:r>
    </w:p>
    <w:p w:rsidR="00235198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เพื่อให้มีความรู้ความเข้าใจการพัฒนารูปแบบการเรียนการสอน  การออกแบบและการจัดการ</w:t>
      </w:r>
      <w:r w:rsidR="00235198" w:rsidRPr="00312BB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:rsidR="00606C75" w:rsidRPr="00312BB7" w:rsidRDefault="00606C75" w:rsidP="00235198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เรียนรู้และการจัดการชั้นเรียน   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1.3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เพื่อให้มีความรู้ความเข้าใจ รูปแบบการสอน เทคนิคและวิทยาการจัดการเรียนรู้ เทคนิคการควบคุมชั้นเรียนและการบริหารจัดการชั้นเรียน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185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1.4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เพื่อให้มีความรู้ความเข้าใจการบูรณาการเนื้อหาในกลุ่มสาระการเรียนรู้ การบูรณาการเรียนรู้แบบเรียนรวมและการประสานประโยชน์ในการจัดการชั้นเรียน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-47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1.5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เพื่อให้มีทักษะการสังเกตชั้นเรียน และสามารถวิเคราะห์กรณีปัญหาในชั้นเรียน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</w:t>
      </w:r>
      <w:r w:rsidRPr="00312BB7">
        <w:rPr>
          <w:rFonts w:ascii="TH SarabunPSK" w:hAnsi="TH SarabunPSK" w:cs="TH SarabunPSK"/>
          <w:sz w:val="32"/>
          <w:szCs w:val="32"/>
          <w:cs/>
        </w:rPr>
        <w:t>6  เพื่อให้มีทักษะการออกแบบและประเมินแผนการจัดการเรียนรู้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</w:t>
      </w:r>
      <w:r w:rsidRPr="00312BB7">
        <w:rPr>
          <w:rFonts w:ascii="TH SarabunPSK" w:hAnsi="TH SarabunPSK" w:cs="TH SarabunPSK"/>
          <w:sz w:val="32"/>
          <w:szCs w:val="32"/>
          <w:cs/>
        </w:rPr>
        <w:t>7  เพื่อให้มีทักษะการจัดการเรียนรู้และการจัดการชั้นเรียนที่มีประสิทธิผล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1.8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เพื่อให้มีเจตคติที่ดีและเห็นคุณค่าของการจัดกระบวนการเรียนรู้ที่เน้นผู้เรียนเป็นสำคัญ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>1 เพื่อพัฒนาการจัดการเรียนรู้และการจัดการชั้นเรียน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312BB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312BB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312BB7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312BB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312BB7" w:rsidRDefault="00961BB9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312BB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312BB7">
        <w:rPr>
          <w:rFonts w:ascii="TH SarabunPSK" w:hAnsi="TH SarabunPSK" w:cs="TH SarabunPSK"/>
          <w:sz w:val="32"/>
          <w:szCs w:val="32"/>
        </w:rPr>
        <w:t xml:space="preserve">13.00-17.00 </w:t>
      </w:r>
      <w:r w:rsidRPr="00312BB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312BB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312BB7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312BB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312BB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312BB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312BB7" w:rsidTr="00606C75">
        <w:trPr>
          <w:jc w:val="center"/>
        </w:trPr>
        <w:tc>
          <w:tcPr>
            <w:tcW w:w="2920" w:type="dxa"/>
            <w:vAlign w:val="center"/>
          </w:tcPr>
          <w:p w:rsidR="00FA79D7" w:rsidRPr="00312BB7" w:rsidRDefault="00606C75" w:rsidP="00606C7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0314503 การจัดการเรียนรู้และการจัดการชั้นเรียน</w:t>
            </w: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312BB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841"/>
        <w:gridCol w:w="3315"/>
        <w:gridCol w:w="3328"/>
      </w:tblGrid>
      <w:tr w:rsidR="00FA79D7" w:rsidRPr="00312BB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312BB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312BB7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ปฐมวัย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235198" w:rsidRPr="00312BB7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:rsidR="00FA79D7" w:rsidRPr="00312BB7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312BB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และสนับสนุนการวิเคราะห์วิจารณ์การนำไปประยุกต์ปรับใช้วิตประจำวัน</w:t>
            </w:r>
          </w:p>
        </w:tc>
        <w:tc>
          <w:tcPr>
            <w:tcW w:w="3328" w:type="dxa"/>
          </w:tcPr>
          <w:p w:rsidR="00D72507" w:rsidRPr="00312BB7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สามารถวิเคราะห์ประเด็นปัญหาที่เกี่ยวกับสังคม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ารชั้นเรีย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312BB7" w:rsidRDefault="00FA79D7" w:rsidP="00FA79D7">
      <w:pPr>
        <w:rPr>
          <w:rFonts w:ascii="TH SarabunPSK" w:hAnsi="TH SarabunPSK" w:cs="TH SarabunPSK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312BB7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312BB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312BB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961BB9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แนวคิดการจัดการเรียนรู้และการจัดการชั้นเรียน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961BB9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ความรู้พื้นฐานเกี่ยวกับการจัดการเรียนรู้และการจัดการชั้นเรียน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961BB9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961BB9" w:rsidP="00D72507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เทคนิคและวิทยาการจัดการเรียนรู้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การพัฒนาและออกแบบการจัดการเรียนรู้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961BB9" w:rsidP="00D72507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312BB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เทคนิคการจัดการชั้นเรียนและการประเมินผลการเรียนรู้และการจัดการชั้นเรียน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961BB9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13 - 14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การศึกษาวิเคราะห์กรณีปัญหาในชั้นเรียน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961BB9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961BB9" w:rsidP="00D72507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ปฏิบัติการออกแบบการเรียนรู้และสอบสอน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312BB7" w:rsidRDefault="00961BB9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4500" w:type="dxa"/>
            <w:gridSpan w:val="2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961BB9" w:rsidP="00D72507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AB7D40" w:rsidRPr="00312BB7" w:rsidTr="00D72507">
        <w:tc>
          <w:tcPr>
            <w:tcW w:w="738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2-7, 10-1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8017" w:type="dxa"/>
            <w:gridSpan w:val="4"/>
            <w:shd w:val="clear" w:color="auto" w:fill="auto"/>
          </w:tcPr>
          <w:p w:rsidR="00AB7D40" w:rsidRPr="00312BB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312BB7" w:rsidRDefault="00AB7D40" w:rsidP="00AB7D40">
      <w:pPr>
        <w:rPr>
          <w:rFonts w:ascii="TH SarabunPSK" w:hAnsi="TH SarabunPSK" w:cs="TH SarabunPSK"/>
        </w:rPr>
      </w:pPr>
    </w:p>
    <w:p w:rsidR="00AB7D40" w:rsidRPr="00312BB7" w:rsidRDefault="00AB7D40" w:rsidP="00AB7D40">
      <w:pPr>
        <w:rPr>
          <w:rFonts w:ascii="TH SarabunPSK" w:hAnsi="TH SarabunPSK" w:cs="TH SarabunPSK"/>
          <w:szCs w:val="24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312BB7">
        <w:rPr>
          <w:rFonts w:ascii="TH SarabunPSK" w:hAnsi="TH SarabunPSK" w:cs="TH SarabunPSK"/>
          <w:sz w:val="32"/>
          <w:szCs w:val="32"/>
        </w:rPr>
        <w:t>.2541.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312BB7">
        <w:rPr>
          <w:rFonts w:ascii="TH SarabunPSK" w:hAnsi="TH SarabunPSK" w:cs="TH SarabunPSK"/>
          <w:sz w:val="32"/>
          <w:szCs w:val="32"/>
        </w:rPr>
        <w:t>2551.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312BB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__________.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หลักสูตร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แกนกลางการศึกษาขั้นพื้นฐานพุทธศักราช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              ประเทศไทยจำกัด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lastRenderedPageBreak/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การศึกษาขั้นพื้นฐาน 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กลุ่มสาระการเรียนรู้สังคม ศาสนา และวัฒนธรรม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ตามหลักสูตรแกนกลางการศึกษาขั้นพื้นฐาน 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ชนาธิป พรกุล</w:t>
      </w:r>
      <w:r w:rsidRPr="00312BB7">
        <w:rPr>
          <w:rFonts w:ascii="TH SarabunPSK" w:hAnsi="TH SarabunPSK" w:cs="TH SarabunPSK"/>
          <w:sz w:val="32"/>
          <w:szCs w:val="32"/>
        </w:rPr>
        <w:t>. 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312BB7">
        <w:rPr>
          <w:rFonts w:ascii="TH SarabunPSK" w:hAnsi="TH SarabunPSK" w:cs="TH SarabunPSK"/>
          <w:sz w:val="32"/>
          <w:szCs w:val="32"/>
        </w:rPr>
        <w:t xml:space="preserve">. 2552.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312BB7">
        <w:rPr>
          <w:rFonts w:ascii="TH SarabunPSK" w:hAnsi="TH SarabunPSK" w:cs="TH SarabunPSK"/>
          <w:sz w:val="32"/>
          <w:szCs w:val="32"/>
        </w:rPr>
        <w:t>. 2548.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ทวีป</w:t>
      </w:r>
      <w:r w:rsidRPr="00312BB7">
        <w:rPr>
          <w:rFonts w:ascii="TH SarabunPSK" w:hAnsi="TH SarabunPSK" w:cs="TH SarabunPSK"/>
          <w:sz w:val="32"/>
          <w:szCs w:val="32"/>
        </w:rPr>
        <w:t xml:space="preserve">   </w:t>
      </w:r>
      <w:r w:rsidRPr="00312BB7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312BB7">
        <w:rPr>
          <w:rFonts w:ascii="TH SarabunPSK" w:hAnsi="TH SarabunPSK" w:cs="TH SarabunPSK"/>
          <w:sz w:val="32"/>
          <w:szCs w:val="32"/>
        </w:rPr>
        <w:t>. 2539.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312BB7">
        <w:rPr>
          <w:rFonts w:ascii="TH SarabunPSK" w:hAnsi="TH SarabunPSK" w:cs="TH SarabunPSK"/>
          <w:sz w:val="32"/>
          <w:szCs w:val="32"/>
        </w:rPr>
        <w:t>,2539.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312BB7">
        <w:rPr>
          <w:rFonts w:ascii="TH SarabunPSK" w:hAnsi="TH SarabunPSK" w:cs="TH SarabunPSK"/>
          <w:sz w:val="32"/>
          <w:szCs w:val="32"/>
        </w:rPr>
        <w:t xml:space="preserve">2549.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เตือนใจ เกตุษา.2553.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มปป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2545.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12BB7">
        <w:rPr>
          <w:rFonts w:ascii="TH SarabunPSK" w:hAnsi="TH SarabunPSK" w:cs="TH SarabunPSK"/>
          <w:sz w:val="32"/>
          <w:szCs w:val="32"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312BB7" w:rsidRDefault="0057544A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312BB7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312BB7">
        <w:rPr>
          <w:rFonts w:ascii="TH SarabunPSK" w:hAnsi="TH SarabunPSK" w:cs="TH SarabunPSK"/>
          <w:sz w:val="32"/>
          <w:szCs w:val="32"/>
        </w:rPr>
        <w:t>.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 xml:space="preserve">.2556.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12BB7">
        <w:rPr>
          <w:rFonts w:ascii="TH SarabunPSK" w:hAnsi="TH SarabunPSK" w:cs="TH SarabunPSK"/>
          <w:sz w:val="32"/>
          <w:szCs w:val="32"/>
        </w:rPr>
        <w:t>.2554.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312BB7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lastRenderedPageBreak/>
        <w:t>Dale H. Schunk. 2008.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12BB7">
        <w:rPr>
          <w:rFonts w:ascii="TH SarabunPSK" w:hAnsi="TH SarabunPSK" w:cs="TH SarabunPSK"/>
          <w:sz w:val="32"/>
          <w:szCs w:val="32"/>
        </w:rPr>
        <w:t>s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312BB7">
        <w:rPr>
          <w:rFonts w:ascii="TH SarabunPSK" w:hAnsi="TH SarabunPSK" w:cs="TH SarabunPSK"/>
          <w:sz w:val="32"/>
          <w:szCs w:val="32"/>
        </w:rPr>
        <w:t xml:space="preserve">. New Jersey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312BB7">
        <w:rPr>
          <w:rFonts w:ascii="TH SarabunPSK" w:hAnsi="TH SarabunPSK" w:cs="TH SarabunPSK"/>
          <w:sz w:val="32"/>
          <w:szCs w:val="32"/>
        </w:rPr>
        <w:t>.USA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312BB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</w:rPr>
        <w:t>8</w:t>
      </w:r>
      <w:r w:rsidRPr="00312BB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12BB7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J. Freeman.1996.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312BB7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312BB7">
        <w:rPr>
          <w:rFonts w:ascii="TH SarabunPSK" w:hAnsi="TH SarabunPSK" w:cs="TH SarabunPSK"/>
          <w:sz w:val="32"/>
          <w:szCs w:val="32"/>
        </w:rPr>
        <w:t xml:space="preserve">. USA : Sage </w:t>
      </w:r>
      <w:r w:rsidRPr="00312BB7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Water Dick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and other.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312BB7">
        <w:rPr>
          <w:rFonts w:ascii="TH SarabunPSK" w:hAnsi="TH SarabunPSK" w:cs="TH SarabunPSK"/>
          <w:sz w:val="32"/>
          <w:szCs w:val="32"/>
        </w:rPr>
        <w:t>. 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 Pearson</w:t>
      </w: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C7132C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C7132C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312BB7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312BB7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312BB7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312BB7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312BB7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60" w:rsidRDefault="00882660" w:rsidP="00D13AA0">
      <w:r>
        <w:separator/>
      </w:r>
    </w:p>
  </w:endnote>
  <w:endnote w:type="continuationSeparator" w:id="0">
    <w:p w:rsidR="00882660" w:rsidRDefault="00882660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57544A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D72507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D72507" w:rsidRDefault="00D72507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4053C5" w:rsidRDefault="00D7250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960863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D72507" w:rsidRDefault="00D7250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60" w:rsidRDefault="00882660" w:rsidP="00D13AA0">
      <w:r>
        <w:separator/>
      </w:r>
    </w:p>
  </w:footnote>
  <w:footnote w:type="continuationSeparator" w:id="0">
    <w:p w:rsidR="00882660" w:rsidRDefault="00882660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6D7041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D72507" w:rsidRPr="001B166F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F20CB1" w:rsidRDefault="0057544A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D72507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D72507" w:rsidRPr="00F20CB1" w:rsidRDefault="00D72507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322BAC" w:rsidRDefault="0057544A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D72507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D72507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D72507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961BB9" w:rsidRPr="00961BB9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945C7"/>
    <w:rsid w:val="00495C1B"/>
    <w:rsid w:val="004A5ABE"/>
    <w:rsid w:val="004F4891"/>
    <w:rsid w:val="004F4E54"/>
    <w:rsid w:val="00543FF5"/>
    <w:rsid w:val="0056064D"/>
    <w:rsid w:val="0057544A"/>
    <w:rsid w:val="005B1EF3"/>
    <w:rsid w:val="005F25BF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8122ED"/>
    <w:rsid w:val="00820023"/>
    <w:rsid w:val="00821375"/>
    <w:rsid w:val="00843F53"/>
    <w:rsid w:val="00882660"/>
    <w:rsid w:val="008919D0"/>
    <w:rsid w:val="00901D3A"/>
    <w:rsid w:val="009100A2"/>
    <w:rsid w:val="009159D9"/>
    <w:rsid w:val="00961BB9"/>
    <w:rsid w:val="00966C2A"/>
    <w:rsid w:val="00984FEA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72507"/>
    <w:rsid w:val="00D82D2A"/>
    <w:rsid w:val="00D955BB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E519A"/>
    <w:rsid w:val="00EF2419"/>
    <w:rsid w:val="00F02089"/>
    <w:rsid w:val="00F02743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3BBF-26DF-4D2C-BAC9-15D19757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2577</Words>
  <Characters>14695</Characters>
  <Application>Microsoft Office Word</Application>
  <DocSecurity>0</DocSecurity>
  <Lines>122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13</cp:revision>
  <cp:lastPrinted>2018-08-24T06:05:00Z</cp:lastPrinted>
  <dcterms:created xsi:type="dcterms:W3CDTF">2019-05-22T09:09:00Z</dcterms:created>
  <dcterms:modified xsi:type="dcterms:W3CDTF">2019-05-27T08:38:00Z</dcterms:modified>
</cp:coreProperties>
</file>