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0317815 สัมมนาการวิจัยทางเทคโนโลยีและสื่อสารการศึกษา 2 </w:t>
      </w: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04BA0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</w:rPr>
        <w:t xml:space="preserve">Communication </w:t>
      </w: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2)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2307B" w:rsidRPr="0042307B" w:rsidRDefault="00271D9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="0066364F" w:rsidRPr="00EA2554">
        <w:rPr>
          <w:rFonts w:ascii="TH SarabunPSK" w:hAnsi="TH SarabunPSK" w:cs="TH SarabunPSK"/>
          <w:sz w:val="32"/>
          <w:szCs w:val="32"/>
        </w:rPr>
        <w:t>815</w:t>
      </w:r>
      <w:r w:rsidR="0066364F" w:rsidRPr="00EA2554">
        <w:rPr>
          <w:rFonts w:ascii="TH SarabunPSK" w:hAnsi="TH SarabunPSK" w:cs="TH SarabunPSK"/>
          <w:sz w:val="32"/>
          <w:szCs w:val="32"/>
        </w:rPr>
        <w:tab/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="0066364F"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="00770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364F" w:rsidRPr="00EA2554">
        <w:rPr>
          <w:rFonts w:ascii="TH SarabunPSK" w:hAnsi="TH SarabunPSK" w:cs="TH SarabunPSK"/>
          <w:sz w:val="32"/>
          <w:szCs w:val="32"/>
        </w:rPr>
        <w:t>2</w:t>
      </w:r>
      <w:r w:rsidR="0066364F" w:rsidRPr="00EA2554">
        <w:rPr>
          <w:rFonts w:ascii="TH SarabunPSK" w:hAnsi="TH SarabunPSK" w:cs="TH SarabunPSK"/>
          <w:sz w:val="32"/>
          <w:szCs w:val="32"/>
        </w:rPr>
        <w:tab/>
        <w:t>2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(</w:t>
      </w:r>
      <w:r w:rsidR="0066364F" w:rsidRPr="00EA2554">
        <w:rPr>
          <w:rFonts w:ascii="TH SarabunPSK" w:hAnsi="TH SarabunPSK" w:cs="TH SarabunPSK"/>
          <w:sz w:val="32"/>
          <w:szCs w:val="32"/>
        </w:rPr>
        <w:t>1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66364F" w:rsidRPr="00EA2554">
        <w:rPr>
          <w:rFonts w:ascii="TH SarabunPSK" w:hAnsi="TH SarabunPSK" w:cs="TH SarabunPSK"/>
          <w:sz w:val="32"/>
          <w:szCs w:val="32"/>
        </w:rPr>
        <w:t>2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66364F" w:rsidRPr="00EA2554">
        <w:rPr>
          <w:rFonts w:ascii="TH SarabunPSK" w:hAnsi="TH SarabunPSK" w:cs="TH SarabunPSK"/>
          <w:sz w:val="32"/>
          <w:szCs w:val="32"/>
        </w:rPr>
        <w:t>3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0B01" w:rsidRPr="00770B01">
        <w:rPr>
          <w:rFonts w:ascii="TH SarabunPSK" w:hAnsi="TH SarabunPSK" w:cs="TH SarabunPSK"/>
          <w:sz w:val="32"/>
          <w:szCs w:val="32"/>
          <w:cs/>
        </w:rPr>
        <w:t>0317713</w:t>
      </w:r>
      <w:r w:rsidR="00770B01" w:rsidRPr="00770B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0B01" w:rsidRPr="00770B0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สัมมนาการวิจัยทางเทคโนโลยีและสื่อสารการศึกษา </w:t>
      </w:r>
      <w:r w:rsidR="00770B01" w:rsidRPr="00770B01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Default="0042307B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ผศ.ดร.จินตนา  กสินันท์</w:t>
      </w:r>
    </w:p>
    <w:p w:rsidR="00886AB2" w:rsidRDefault="007A0F32" w:rsidP="0042307B">
      <w:pPr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ผศ.ดร.พัฒนา  ศิริกุลพิพัฒน์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s801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0B01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A0F32">
        <w:rPr>
          <w:rFonts w:ascii="TH SarabunPSK" w:hAnsi="TH SarabunPSK" w:cs="TH SarabunPSK" w:hint="cs"/>
          <w:sz w:val="32"/>
          <w:szCs w:val="32"/>
          <w:cs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364F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694"/>
        <w:gridCol w:w="992"/>
        <w:gridCol w:w="1134"/>
        <w:gridCol w:w="992"/>
        <w:gridCol w:w="1134"/>
        <w:gridCol w:w="1843"/>
      </w:tblGrid>
      <w:tr w:rsidR="003C3C96" w:rsidRPr="005D49E5" w:rsidTr="007A0F32">
        <w:trPr>
          <w:tblHeader/>
        </w:trPr>
        <w:tc>
          <w:tcPr>
            <w:tcW w:w="1106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7A0F32">
        <w:trPr>
          <w:tblHeader/>
        </w:trPr>
        <w:tc>
          <w:tcPr>
            <w:tcW w:w="1106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7A0F32">
        <w:tc>
          <w:tcPr>
            <w:tcW w:w="1106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3C3C96" w:rsidRPr="005D49E5" w:rsidRDefault="000E0DED" w:rsidP="000E0DE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-ทบทวนความรู้เดิมจากรายวิชา 0317713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7A0F32">
        <w:tc>
          <w:tcPr>
            <w:tcW w:w="1106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66364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</w:p>
          <w:p w:rsidR="003C3C96" w:rsidRPr="005D49E5" w:rsidRDefault="000E0DED" w:rsidP="000E0DE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7A0F32">
        <w:tc>
          <w:tcPr>
            <w:tcW w:w="1106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วิจัยทางเทคโนโลยีและสื่อสารการศึกษา </w:t>
            </w:r>
          </w:p>
          <w:p w:rsidR="003C3C96" w:rsidRPr="00922258" w:rsidRDefault="000E0DED" w:rsidP="000E0DE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รสอน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7A0F32">
        <w:tc>
          <w:tcPr>
            <w:tcW w:w="1106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6-7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</w:p>
          <w:p w:rsidR="003C3C96" w:rsidRPr="005D49E5" w:rsidRDefault="000E0DED" w:rsidP="000E0DED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-การออกแบบ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ภาพแวดล้อมทางการศึกษา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7A0F32">
        <w:tc>
          <w:tcPr>
            <w:tcW w:w="1106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8-10</w:t>
            </w:r>
          </w:p>
        </w:tc>
        <w:tc>
          <w:tcPr>
            <w:tcW w:w="2694" w:type="dxa"/>
          </w:tcPr>
          <w:p w:rsidR="0066364F" w:rsidRPr="00894108" w:rsidRDefault="0066364F" w:rsidP="00F866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992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7A0F32">
        <w:tc>
          <w:tcPr>
            <w:tcW w:w="1106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11-15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-การนำเสนอหัวข้อดุษฎีนิพนธ์</w:t>
            </w:r>
          </w:p>
          <w:p w:rsidR="0066364F" w:rsidRPr="00922258" w:rsidRDefault="000E0DED" w:rsidP="000E0DED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-สรุปประเด็นที่ได้จากการจัดสัมมนา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66364F" w:rsidRPr="000E0DED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0E0DED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66364F" w:rsidRPr="000E0DED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E0DED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2F6E20" w:rsidTr="007A0F32">
        <w:tc>
          <w:tcPr>
            <w:tcW w:w="1106" w:type="dxa"/>
          </w:tcPr>
          <w:p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66364F" w:rsidRPr="002F6E20" w:rsidRDefault="0066364F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66364F" w:rsidRPr="005D49E5" w:rsidTr="007A0F32">
        <w:tc>
          <w:tcPr>
            <w:tcW w:w="3800" w:type="dxa"/>
            <w:gridSpan w:val="2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7A0F32">
        <w:rPr>
          <w:rFonts w:ascii="TH SarabunPSK" w:hAnsi="TH SarabunPSK" w:cs="TH SarabunPSK" w:hint="cs"/>
          <w:sz w:val="32"/>
          <w:szCs w:val="32"/>
          <w:cs/>
        </w:rPr>
        <w:t>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7A0F32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ระดับคะแนน (เกรด)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F18A0" w:rsidRPr="00934665" w:rsidTr="00F86622">
        <w:trPr>
          <w:jc w:val="center"/>
        </w:trPr>
        <w:tc>
          <w:tcPr>
            <w:tcW w:w="2268" w:type="dxa"/>
          </w:tcPr>
          <w:p w:rsidR="00FF18A0" w:rsidRPr="00FF18A0" w:rsidRDefault="00FF18A0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AUD</w:t>
            </w:r>
          </w:p>
        </w:tc>
        <w:tc>
          <w:tcPr>
            <w:tcW w:w="2700" w:type="dxa"/>
          </w:tcPr>
          <w:p w:rsidR="00FF18A0" w:rsidRPr="00934665" w:rsidRDefault="007A0F32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85-100</w:t>
            </w:r>
          </w:p>
        </w:tc>
        <w:tc>
          <w:tcPr>
            <w:tcW w:w="1800" w:type="dxa"/>
          </w:tcPr>
          <w:p w:rsidR="00FF18A0" w:rsidRPr="00934665" w:rsidRDefault="007A0F32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71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lastRenderedPageBreak/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-24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7A0F32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7A0F32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7A0F32">
        <w:trPr>
          <w:trHeight w:val="498"/>
        </w:trPr>
        <w:tc>
          <w:tcPr>
            <w:tcW w:w="3240" w:type="dxa"/>
          </w:tcPr>
          <w:p w:rsidR="00301A9A" w:rsidRPr="005D49E5" w:rsidRDefault="00301A9A" w:rsidP="007A0F32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7A0F32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7A0F32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7A0F32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7A0F32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7A0F32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7A0F32">
        <w:trPr>
          <w:trHeight w:val="498"/>
        </w:trPr>
        <w:tc>
          <w:tcPr>
            <w:tcW w:w="3240" w:type="dxa"/>
          </w:tcPr>
          <w:p w:rsidR="00301A9A" w:rsidRPr="005D49E5" w:rsidRDefault="00301A9A" w:rsidP="007A0F32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7A0F32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7A0F32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7A0F32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7A0F32">
        <w:trPr>
          <w:trHeight w:val="498"/>
        </w:trPr>
        <w:tc>
          <w:tcPr>
            <w:tcW w:w="3240" w:type="dxa"/>
          </w:tcPr>
          <w:p w:rsidR="00301A9A" w:rsidRPr="005D49E5" w:rsidRDefault="00301A9A" w:rsidP="007A0F32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7A0F32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7A0F32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7A0F32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7A0F32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7A0F32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F7B" w:rsidRDefault="007A0F32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p w:rsidR="00FF18A0" w:rsidRDefault="00FF18A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FF18A0" w:rsidRPr="00FF18A0" w:rsidTr="00FF18A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3"/>
            </w:tblGrid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</w:tbl>
          <w:p w:rsidR="00FF18A0" w:rsidRPr="00FF18A0" w:rsidRDefault="00FF18A0" w:rsidP="00FF18A0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AE0FAF" w:rsidRPr="00AE0FAF" w:rsidTr="00AE0F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E0FAF" w:rsidRPr="00AE0FAF" w:rsidRDefault="00AE0FAF" w:rsidP="00AE0FAF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</w:tbl>
    <w:p w:rsidR="004C5F7B" w:rsidRPr="00AE0FAF" w:rsidRDefault="004C5F7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C5F7B" w:rsidRPr="00AE0FAF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997" w:rsidRDefault="00835997" w:rsidP="001D5AA2">
      <w:pPr>
        <w:pStyle w:val="a3"/>
      </w:pPr>
      <w:r>
        <w:separator/>
      </w:r>
    </w:p>
  </w:endnote>
  <w:endnote w:type="continuationSeparator" w:id="0">
    <w:p w:rsidR="00835997" w:rsidRDefault="008359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Default="00525C3A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525C3A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997" w:rsidRDefault="00835997" w:rsidP="001D5AA2">
      <w:pPr>
        <w:pStyle w:val="a3"/>
      </w:pPr>
      <w:r>
        <w:separator/>
      </w:r>
    </w:p>
  </w:footnote>
  <w:footnote w:type="continuationSeparator" w:id="0">
    <w:p w:rsidR="00835997" w:rsidRDefault="008359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93E76" w:rsidRDefault="00525C3A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525C3A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E5" w:rsidRPr="005D49E5" w:rsidRDefault="00525C3A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7A0F32" w:rsidRPr="007A0F32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3626"/>
    <w:rsid w:val="00005693"/>
    <w:rsid w:val="00006A26"/>
    <w:rsid w:val="00015D91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0DED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5F41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357E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D66E2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25C3A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364F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2AC6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0B01"/>
    <w:rsid w:val="0077205A"/>
    <w:rsid w:val="00772910"/>
    <w:rsid w:val="0078109A"/>
    <w:rsid w:val="00781123"/>
    <w:rsid w:val="00782038"/>
    <w:rsid w:val="007A0F32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5997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86AB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B9C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1324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670B6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0FAF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9A8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069D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22E3"/>
    <w:rsid w:val="00BF7401"/>
    <w:rsid w:val="00C056F4"/>
    <w:rsid w:val="00C07D6D"/>
    <w:rsid w:val="00C16F1E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3F90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16BB"/>
    <w:rsid w:val="00E42B99"/>
    <w:rsid w:val="00E43C70"/>
    <w:rsid w:val="00E461F3"/>
    <w:rsid w:val="00E57DEC"/>
    <w:rsid w:val="00E617D2"/>
    <w:rsid w:val="00E65BEB"/>
    <w:rsid w:val="00E700C2"/>
    <w:rsid w:val="00E712E3"/>
    <w:rsid w:val="00E738B6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0B58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18A0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6F663B-A293-424B-8E33-BCC96D3B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2</cp:revision>
  <cp:lastPrinted>2016-08-04T02:30:00Z</cp:lastPrinted>
  <dcterms:created xsi:type="dcterms:W3CDTF">2023-05-12T04:47:00Z</dcterms:created>
  <dcterms:modified xsi:type="dcterms:W3CDTF">2023-05-12T04:47:00Z</dcterms:modified>
</cp:coreProperties>
</file>