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7B0C" w:rsidRPr="004E03D5" w:rsidRDefault="00997B0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997B0C" w:rsidRPr="004E03D5" w:rsidRDefault="00997B0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45EB1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645EB1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/>
          <w:sz w:val="32"/>
          <w:szCs w:val="32"/>
        </w:rPr>
        <w:t>0317731</w:t>
      </w:r>
      <w:r w:rsidR="004C5D7B" w:rsidRPr="004C5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sz w:val="32"/>
          <w:szCs w:val="32"/>
          <w:cs/>
        </w:rPr>
        <w:t>ภาวะผู้นำทางเทคโนโลยีและสื่อสารการศึกษา</w:t>
      </w:r>
    </w:p>
    <w:p w:rsidR="004C5D7B" w:rsidRPr="004C5D7B" w:rsidRDefault="00617A75" w:rsidP="001967E7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1967E7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0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6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1967E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200565390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1967E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1967E7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645EB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645EB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967E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34442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34442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34442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34442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67E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67E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</w:t>
      </w:r>
      <w:r w:rsidR="00645E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ษภาคม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645EB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1967E7" w:rsidRPr="00F34D5A" w:rsidRDefault="00E6121A" w:rsidP="001967E7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967E7" w:rsidRDefault="00E6121A" w:rsidP="001967E7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1967E7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:rsidR="00F41816" w:rsidRDefault="00F41816" w:rsidP="001967E7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1967E7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67E7" w:rsidRDefault="00F41816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:rsidR="001967E7" w:rsidRPr="001967E7" w:rsidRDefault="00F41816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 w:rsidR="00196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 ในการบริหาร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</w:r>
    </w:p>
    <w:p w:rsidR="003653D7" w:rsidRPr="00225DE1" w:rsidRDefault="003653D7" w:rsidP="00F41816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967E7" w:rsidRDefault="001967E7" w:rsidP="001967E7">
      <w:pPr>
        <w:tabs>
          <w:tab w:val="left" w:pos="567"/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:rsidR="001967E7" w:rsidRPr="001967E7" w:rsidRDefault="001967E7" w:rsidP="001967E7">
      <w:pPr>
        <w:tabs>
          <w:tab w:val="left" w:pos="567"/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F41816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F41816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6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967E7" w:rsidRDefault="007D680F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แผนที่กระจายความรับผิดชอบ</w:t>
      </w:r>
    </w:p>
    <w:p w:rsidR="007D680F" w:rsidRDefault="007D680F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549"/>
        <w:gridCol w:w="540"/>
        <w:gridCol w:w="630"/>
        <w:gridCol w:w="630"/>
        <w:gridCol w:w="630"/>
        <w:gridCol w:w="540"/>
        <w:gridCol w:w="540"/>
        <w:gridCol w:w="630"/>
        <w:gridCol w:w="540"/>
        <w:gridCol w:w="540"/>
        <w:gridCol w:w="630"/>
        <w:gridCol w:w="630"/>
        <w:gridCol w:w="720"/>
      </w:tblGrid>
      <w:tr w:rsidR="007D680F" w:rsidRPr="00F17A6F" w:rsidTr="00997B0C">
        <w:trPr>
          <w:trHeight w:val="244"/>
        </w:trPr>
        <w:tc>
          <w:tcPr>
            <w:tcW w:w="1449" w:type="dxa"/>
            <w:vMerge w:val="restart"/>
          </w:tcPr>
          <w:p w:rsidR="007D680F" w:rsidRPr="00F17A6F" w:rsidRDefault="007D680F" w:rsidP="00997B0C">
            <w:pPr>
              <w:ind w:left="14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 ด้านทักษะทางปัญญา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4. ด้านทักษะความสัมพันธ์</w:t>
            </w:r>
          </w:p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5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7D680F" w:rsidRPr="00F17A6F" w:rsidTr="00997B0C">
        <w:trPr>
          <w:trHeight w:val="524"/>
        </w:trPr>
        <w:tc>
          <w:tcPr>
            <w:tcW w:w="1449" w:type="dxa"/>
            <w:vMerge/>
          </w:tcPr>
          <w:p w:rsidR="007D680F" w:rsidRPr="00F17A6F" w:rsidRDefault="007D680F" w:rsidP="00997B0C">
            <w:pPr>
              <w:ind w:left="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D680F" w:rsidRPr="00F17A6F" w:rsidTr="00997B0C">
        <w:trPr>
          <w:trHeight w:val="416"/>
        </w:trPr>
        <w:tc>
          <w:tcPr>
            <w:tcW w:w="1449" w:type="dxa"/>
          </w:tcPr>
          <w:p w:rsidR="007D680F" w:rsidRPr="00F17A6F" w:rsidRDefault="007D680F" w:rsidP="00997B0C">
            <w:pPr>
              <w:ind w:left="14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F17A6F">
              <w:rPr>
                <w:rFonts w:ascii="TH SarabunPSK" w:hAnsi="TH SarabunPSK" w:cs="TH SarabunPSK"/>
                <w:sz w:val="28"/>
              </w:rPr>
              <w:t>7</w:t>
            </w:r>
            <w:r w:rsidRPr="00F17A6F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  <w:p w:rsidR="007D680F" w:rsidRPr="00F17A6F" w:rsidRDefault="007D680F" w:rsidP="00997B0C">
            <w:pPr>
              <w:ind w:left="14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0F" w:rsidRPr="00F17A6F" w:rsidRDefault="007D680F" w:rsidP="00997B0C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D680F" w:rsidRDefault="007D680F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967E7" w:rsidRDefault="001967E7" w:rsidP="001967E7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:rsidR="001967E7" w:rsidRDefault="001967E7" w:rsidP="001967E7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67E7" w:rsidRDefault="001967E7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:rsidR="001967E7" w:rsidRPr="001967E7" w:rsidRDefault="001967E7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 ในการบริหาร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7D680F" w:rsidRPr="00BE03DF" w:rsidTr="00997B0C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7D680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7D680F" w:rsidRPr="00BE03DF" w:rsidTr="00997B0C">
        <w:trPr>
          <w:tblHeader/>
        </w:trPr>
        <w:tc>
          <w:tcPr>
            <w:tcW w:w="959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ชี้แจง มคอ.3</w:t>
            </w:r>
          </w:p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</w:t>
            </w:r>
            <w:r w:rsidR="00997B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แนวคิดเทคโนโลยีและสื่อสารการศึกษา</w:t>
            </w:r>
          </w:p>
          <w:p w:rsidR="00645EB1" w:rsidRDefault="00645EB1" w:rsidP="00997B0C">
            <w:pPr>
              <w:ind w:left="3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ภาวะผู้นำทางการศึกษา</w:t>
            </w:r>
            <w:bookmarkStart w:id="0" w:name="_GoBack"/>
            <w:bookmarkEnd w:id="0"/>
          </w:p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D680F" w:rsidRPr="004B373B" w:rsidRDefault="007D680F" w:rsidP="00997B0C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D680F" w:rsidRPr="003314AA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7D680F" w:rsidRPr="00FE5026" w:rsidRDefault="007D680F" w:rsidP="00997B0C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3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งานวิจัยเกี่ยวข้องกับภาวะผู้นำทางเทคโนโลยีและสื่อสารการศึกษา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ปฏิบัติกิจกรรม ระดมความคิดอภิปราย และร่วมกันสรุป 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814FEC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ind w:left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แผนพัฒนาเศรษฐกิจและสังคมแห่งชาติ  แผนการศึกษาชาติ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แผนพัฒนาดิจิทัลเพื่อเศรษฐกิจและสังคม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เพื่อประยุกต์ใช้ใน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 </w:t>
            </w:r>
          </w:p>
          <w:p w:rsidR="007D680F" w:rsidRDefault="007D680F" w:rsidP="00997B0C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955C72" w:rsidTr="00997B0C">
        <w:trPr>
          <w:trHeight w:val="809"/>
        </w:trPr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เกี่ยวข้องกับการบริหารจัดการองค์การเทคโนโลยีและสื่อสารการศึกษา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:rsidR="007D680F" w:rsidRPr="003314AA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F17A6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7-8</w:t>
            </w:r>
          </w:p>
          <w:p w:rsidR="007D680F" w:rsidRPr="000D5562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D680F" w:rsidRPr="00DD7EF1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9-10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</w:t>
            </w:r>
          </w:p>
          <w:p w:rsidR="007D680F" w:rsidRPr="00F34D5A" w:rsidRDefault="007D680F" w:rsidP="00997B0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7D680F" w:rsidRDefault="007D680F" w:rsidP="00997B0C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D680F" w:rsidRPr="00DD7EF1" w:rsidRDefault="007D680F" w:rsidP="00997B0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D680F" w:rsidRPr="00150125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11-12</w:t>
            </w:r>
          </w:p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Pr="0093663B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ปฏิบัติกิจกรรม </w:t>
            </w:r>
          </w:p>
          <w:p w:rsidR="007D680F" w:rsidRPr="00DD7EF1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814FEC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Pr="008E67F6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7D680F" w:rsidRPr="0078567E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-ศึกษาค้นคว้า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7D680F" w:rsidRPr="008755F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-อภิปราย   สรุป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7D680F" w:rsidRPr="00BE03DF" w:rsidTr="00997B0C">
        <w:tc>
          <w:tcPr>
            <w:tcW w:w="959" w:type="dxa"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7D680F" w:rsidRPr="00BE03DF" w:rsidTr="00997B0C">
        <w:tc>
          <w:tcPr>
            <w:tcW w:w="3936" w:type="dxa"/>
            <w:gridSpan w:val="2"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Pr="00225DE1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7D680F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อภิปราย </w:t>
      </w:r>
      <w:r w:rsidR="003F3A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</w:t>
      </w:r>
      <w:r w:rsidR="003F3A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นำเสนอรายงาน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และสังเคราะห์ 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กับภาวะผู้นำ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ทางเทคโนโลยีและสื่อสารการศึกษา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ิหาร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7D680F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467802" w:rsidP="007D68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นพัฒนาเศรษฐกิจและสังคมแห่งชาติ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เพื่อประยุกต์ใช้ใน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D12BD4" w:rsidP="007D68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ภาวะผู้นำ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องค์การสมัยใหม่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บทบาทหน้าที่ผู้บริหาร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แผนกลยุทธ์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7D680F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7D680F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  รายงาน/การนำเสนอ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7D680F" w:rsidRDefault="00180718" w:rsidP="007D680F">
            <w:pPr>
              <w:jc w:val="thaiDistribute"/>
              <w:rPr>
                <w:rFonts w:asciiTheme="minorHAnsi" w:hAnsiTheme="minorHAnsi" w:cs="TH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 ในการบริหาร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  <w:tc>
          <w:tcPr>
            <w:tcW w:w="2607" w:type="dxa"/>
            <w:shd w:val="clear" w:color="auto" w:fill="auto"/>
          </w:tcPr>
          <w:p w:rsidR="00180718" w:rsidRDefault="00BE6B2A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603" w:type="dxa"/>
            <w:shd w:val="clear" w:color="auto" w:fill="auto"/>
          </w:tcPr>
          <w:p w:rsidR="00180718" w:rsidRDefault="007D680F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แบบประเมิน  </w:t>
            </w:r>
            <w:r w:rsidR="00BE6B2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/การนำเสนอ</w:t>
            </w:r>
          </w:p>
        </w:tc>
        <w:tc>
          <w:tcPr>
            <w:tcW w:w="1473" w:type="dxa"/>
            <w:shd w:val="clear" w:color="auto" w:fill="auto"/>
          </w:tcPr>
          <w:p w:rsidR="00180718" w:rsidRDefault="007D680F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lastRenderedPageBreak/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gjdgxs" w:colFirst="0" w:colLast="0"/>
      <w:bookmarkEnd w:id="1"/>
    </w:p>
    <w:p w:rsidR="000F53F7" w:rsidRPr="00DE782E" w:rsidRDefault="000F53F7" w:rsidP="000F53F7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สานักพิมพ์แห่งมหาวิทยาลัยสุโขทัยธรรมาธิราช. </w:t>
      </w:r>
    </w:p>
    <w:p w:rsidR="000F53F7" w:rsidRPr="00DE782E" w:rsidRDefault="000F53F7" w:rsidP="000F53F7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การศึกษา “หน่วยที่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8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15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นักพิมพ์แห่งมหาวิทยาลัยสุโขทัยธรรมาธิราช. </w:t>
      </w:r>
    </w:p>
    <w:p w:rsidR="006342E0" w:rsidRPr="005B73EC" w:rsidRDefault="006342E0" w:rsidP="006342E0">
      <w:pPr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6342E0" w:rsidRDefault="006342E0" w:rsidP="006342E0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6342E0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6342E0">
        <w:rPr>
          <w:rFonts w:ascii="TH SarabunPSK" w:hAnsi="TH SarabunPSK" w:cs="TH SarabunPSK"/>
          <w:i/>
          <w:iCs/>
          <w:sz w:val="32"/>
          <w:szCs w:val="32"/>
          <w:shd w:val="clear" w:color="auto" w:fill="FFFFFF"/>
          <w:cs/>
        </w:rPr>
        <w:t>.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>2523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). นวัตกรรมและเทคโนโลยีทางการศึกษาการสอน. กรุงเทพฯ : ไทยวัฒนาพานิช.</w:t>
      </w:r>
    </w:p>
    <w:p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มหาสารคาม: สานักพิมพ์แห่งมหาวิทยาลัยมหาสารคาม.</w:t>
      </w:r>
    </w:p>
    <w:p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พสุ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ฮาซันพริ้นติ้ง. </w:t>
      </w:r>
    </w:p>
    <w:p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รังสรรค์ ประเสริฐศรี.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 มหาวิทยาลัยธุรกิจบัณฑิตย์.</w:t>
      </w:r>
    </w:p>
    <w:p w:rsidR="006342E0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  <w:cs/>
        </w:rPr>
        <w:t>สุเทพ พงศ์ศรีวัฒน์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2545</w:t>
      </w:r>
      <w:r w:rsidRPr="003F744E">
        <w:rPr>
          <w:rFonts w:ascii="TH SarabunPSK" w:hAnsi="TH SarabunPSK" w:cs="TH SarabunPSK"/>
          <w:sz w:val="32"/>
          <w:szCs w:val="32"/>
          <w:cs/>
        </w:rPr>
        <w:t>).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ภาวะผู้นำ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ทฤษฎีและปฏิบัติ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บุคส์ลิงค์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3F7719" w:rsidRPr="003F7719" w:rsidRDefault="003F7719" w:rsidP="006342E0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พิมพ์พร  จารุจิตร์ใ  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3F77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ภาวะผู้นำกับการบริหารสถานศึกษาในศตวรรษที่ 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21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มหาวิทยาลัยอุดรธานี.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6342E0" w:rsidRDefault="00494EA9" w:rsidP="006342E0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342E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342E0" w:rsidRDefault="006342E0" w:rsidP="00694E37">
      <w:pPr>
        <w:jc w:val="both"/>
        <w:rPr>
          <w:rFonts w:ascii="TH SarabunPSK" w:hAnsi="TH SarabunPSK" w:cs="TH SarabunPSK"/>
          <w:sz w:val="32"/>
          <w:szCs w:val="32"/>
        </w:rPr>
      </w:pPr>
    </w:p>
    <w:p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6342E0" w:rsidRPr="00B559F1" w:rsidRDefault="006342E0" w:rsidP="006342E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6342E0" w:rsidRDefault="006342E0" w:rsidP="006342E0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 Inc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 ;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r w:rsidRPr="00677927">
        <w:rPr>
          <w:rFonts w:ascii="TH SarabunPSK" w:hAnsi="TH SarabunPSK" w:cs="TH SarabunPSK"/>
          <w:sz w:val="32"/>
          <w:szCs w:val="32"/>
        </w:rPr>
        <w:t>cte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r w:rsidRPr="00677927">
        <w:rPr>
          <w:rFonts w:ascii="TH SarabunPSK" w:hAnsi="TH SarabunPSK" w:cs="TH SarabunPSK"/>
          <w:sz w:val="32"/>
          <w:szCs w:val="32"/>
        </w:rPr>
        <w:t>hawaii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r w:rsidRPr="00677927">
        <w:rPr>
          <w:rFonts w:ascii="TH SarabunPSK" w:hAnsi="TH SarabunPSK" w:cs="TH SarabunPSK"/>
          <w:sz w:val="32"/>
          <w:szCs w:val="32"/>
        </w:rPr>
        <w:t>edu</w:t>
      </w:r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Sakamaki</w:t>
      </w:r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</w:p>
    <w:p w:rsidR="006342E0" w:rsidRDefault="006342E0" w:rsidP="006342E0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paradigmshift</w:t>
      </w:r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6342E0" w:rsidRPr="007A3E19" w:rsidRDefault="006342E0" w:rsidP="006342E0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u w:val="single"/>
        </w:rPr>
      </w:pPr>
      <w:r w:rsidRPr="007A3E19">
        <w:rPr>
          <w:rFonts w:ascii="TH SarabunPSK" w:hAnsi="TH SarabunPSK" w:cs="TH SarabunPSK"/>
          <w:sz w:val="32"/>
          <w:szCs w:val="32"/>
        </w:rPr>
        <w:t>Heinich  Robert michael Molenda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6342E0" w:rsidRPr="007A3E19" w:rsidRDefault="006342E0" w:rsidP="006342E0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York 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:rsidR="006342E0" w:rsidRPr="005B73EC" w:rsidRDefault="006342E0" w:rsidP="006342E0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</w:t>
      </w:r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6342E0" w:rsidRPr="003F744E" w:rsidRDefault="006342E0" w:rsidP="006342E0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r w:rsidRPr="00880429">
        <w:rPr>
          <w:rFonts w:ascii="TH SarabunPSK" w:hAnsi="TH SarabunPSK" w:cs="TH SarabunPSK"/>
          <w:sz w:val="32"/>
          <w:szCs w:val="32"/>
        </w:rPr>
        <w:t>citeseerx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ist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psu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edu</w:t>
      </w:r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 w:rsidRPr="00880429">
        <w:rPr>
          <w:rFonts w:ascii="TH SarabunPSK" w:hAnsi="TH SarabunPSK" w:cs="TH SarabunPSK"/>
          <w:sz w:val="32"/>
          <w:szCs w:val="32"/>
        </w:rPr>
        <w:t>viewdoc</w:t>
      </w:r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:rsidR="006342E0" w:rsidRPr="003F744E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</w:rPr>
        <w:t>Gunter, H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M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2001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744E">
        <w:rPr>
          <w:rFonts w:ascii="TH SarabunPSK" w:hAnsi="TH SarabunPSK" w:cs="TH SarabunPSK"/>
          <w:sz w:val="32"/>
          <w:szCs w:val="32"/>
        </w:rPr>
        <w:t xml:space="preserve">London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F744E">
        <w:rPr>
          <w:rFonts w:ascii="TH SarabunPSK" w:hAnsi="TH SarabunPSK" w:cs="TH SarabunPSK"/>
          <w:sz w:val="32"/>
          <w:szCs w:val="32"/>
        </w:rPr>
        <w:t>Paul Chapman Publishing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:rsidR="006342E0" w:rsidRPr="003F744E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</w:rPr>
        <w:t>Leithwood, K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744E">
        <w:rPr>
          <w:rFonts w:ascii="TH SarabunPSK" w:hAnsi="TH SarabunPSK" w:cs="TH SarabunPSK"/>
          <w:sz w:val="32"/>
          <w:szCs w:val="32"/>
        </w:rPr>
        <w:t xml:space="preserve">et al 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 xml:space="preserve">,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1999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 xml:space="preserve"> Philadephia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F744E">
        <w:rPr>
          <w:rFonts w:ascii="TH SarabunPSK" w:hAnsi="TH SarabunPSK" w:cs="TH SarabunPSK"/>
          <w:sz w:val="32"/>
          <w:szCs w:val="32"/>
        </w:rPr>
        <w:t>Open University Press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:rsidR="006342E0" w:rsidRPr="003F744E" w:rsidRDefault="006342E0" w:rsidP="006342E0">
      <w:pPr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</w:rPr>
        <w:t>Pary, K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1996</w:t>
      </w:r>
      <w:r w:rsidRPr="003F744E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 xml:space="preserve">Melbourn,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 xml:space="preserve">Australia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F744E">
        <w:rPr>
          <w:rFonts w:ascii="TH SarabunPSK" w:hAnsi="TH SarabunPSK" w:cs="TH SarabunPSK"/>
          <w:sz w:val="32"/>
          <w:szCs w:val="32"/>
        </w:rPr>
        <w:t>Pitman Publishing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C1921" w:rsidRPr="00225DE1" w:rsidTr="00997B0C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0317501</w:t>
            </w:r>
          </w:p>
        </w:tc>
        <w:tc>
          <w:tcPr>
            <w:tcW w:w="5698" w:type="dxa"/>
            <w:gridSpan w:val="10"/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C1921" w:rsidRPr="00225DE1" w:rsidTr="00997B0C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6C1921" w:rsidRPr="00397445" w:rsidRDefault="006C1921" w:rsidP="00997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6C1921" w:rsidRPr="00225DE1" w:rsidTr="00997B0C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6C1921" w:rsidRPr="00397445" w:rsidRDefault="006C1921" w:rsidP="00997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6C1921" w:rsidRPr="00225DE1" w:rsidTr="00997B0C">
        <w:trPr>
          <w:trHeight w:val="383"/>
        </w:trPr>
        <w:tc>
          <w:tcPr>
            <w:tcW w:w="3369" w:type="dxa"/>
            <w:shd w:val="clear" w:color="auto" w:fill="auto"/>
          </w:tcPr>
          <w:p w:rsidR="006C1921" w:rsidRPr="00083C90" w:rsidRDefault="006C1921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และสังเคราะห์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กับภาวะผู้นำ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ทางเทคโนโลยีและสื่อสารการศึกษา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ิหาร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C1921" w:rsidRPr="00225DE1" w:rsidTr="00997B0C">
        <w:trPr>
          <w:trHeight w:val="383"/>
        </w:trPr>
        <w:tc>
          <w:tcPr>
            <w:tcW w:w="3369" w:type="dxa"/>
            <w:shd w:val="clear" w:color="auto" w:fill="auto"/>
          </w:tcPr>
          <w:p w:rsidR="006C1921" w:rsidRPr="00397445" w:rsidRDefault="006C1921" w:rsidP="00997B0C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นพัฒนาเศรษฐกิจและสังคมแห่งชาติ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เพื่อประยุกต์ใช้ใน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C1921" w:rsidRPr="00225DE1" w:rsidTr="00997B0C">
        <w:trPr>
          <w:trHeight w:val="370"/>
        </w:trPr>
        <w:tc>
          <w:tcPr>
            <w:tcW w:w="3369" w:type="dxa"/>
            <w:shd w:val="clear" w:color="auto" w:fill="auto"/>
          </w:tcPr>
          <w:p w:rsidR="006C1921" w:rsidRPr="00397445" w:rsidRDefault="006C1921" w:rsidP="00997B0C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ภาวะผู้นำ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องค์การสมัยใหม่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แผนกลยุทธ์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C1921" w:rsidRPr="00225DE1" w:rsidTr="00997B0C">
        <w:trPr>
          <w:trHeight w:val="370"/>
        </w:trPr>
        <w:tc>
          <w:tcPr>
            <w:tcW w:w="3369" w:type="dxa"/>
            <w:shd w:val="clear" w:color="auto" w:fill="auto"/>
          </w:tcPr>
          <w:p w:rsidR="006C1921" w:rsidRPr="00397445" w:rsidRDefault="006C1921" w:rsidP="00997B0C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 ในการบริหาร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C1921" w:rsidRDefault="006C1921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7F61CC" w:rsidRPr="00225DE1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7F61CC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(โดยพิจารณาจาก เล่ม มคอ.2 หมวดที่ 2)</w:t>
      </w:r>
    </w:p>
    <w:p w:rsidR="007F61CC" w:rsidRPr="00225DE1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7F61CC" w:rsidRPr="007B7C1C" w:rsidTr="0036289B">
        <w:trPr>
          <w:tblHeader/>
        </w:trPr>
        <w:tc>
          <w:tcPr>
            <w:tcW w:w="3397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456FFD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7F61CC" w:rsidRDefault="007F61C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7F61CC" w:rsidRDefault="007F61C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7F61CC" w:rsidRDefault="007F61C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7F61CC" w:rsidRDefault="007F61C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7F61CC" w:rsidRPr="007B7C1C" w:rsidTr="0036289B">
        <w:tc>
          <w:tcPr>
            <w:tcW w:w="3397" w:type="dxa"/>
            <w:tcBorders>
              <w:top w:val="single" w:sz="4" w:space="0" w:color="000000"/>
            </w:tcBorders>
          </w:tcPr>
          <w:p w:rsidR="007F61CC" w:rsidRDefault="007F61C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สร้างสรรค์ และมีเหตุผล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C3842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C3842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single" w:sz="4" w:space="0" w:color="000000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single" w:sz="4" w:space="0" w:color="auto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single" w:sz="4" w:space="0" w:color="auto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</w:tcBorders>
          </w:tcPr>
          <w:p w:rsidR="007F61CC" w:rsidRPr="007C3842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7F61CC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21" w:rsidRDefault="00344421">
      <w:r>
        <w:separator/>
      </w:r>
    </w:p>
  </w:endnote>
  <w:endnote w:type="continuationSeparator" w:id="0">
    <w:p w:rsidR="00344421" w:rsidRDefault="0034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E4B0D1DF-4A46-4302-9AEA-A38B17141ECF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610D1863-CA57-4933-B7DF-A77A8F523B7E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BB004F60-4E38-4F7A-90F4-A025503F6D84}"/>
    <w:embedBold r:id="rId4" w:fontKey="{994752AB-5DB6-4B0D-AB7D-19BFE74B92BE}"/>
    <w:embedItalic r:id="rId5" w:fontKey="{2D69C92F-D836-4CAE-922B-0CDA32FEFAF1}"/>
    <w:embedBoldItalic r:id="rId6" w:fontKey="{3A3C79D0-0426-4965-9342-069FBAD0786C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0FFE604-D7FF-422D-8974-CF8CBA1E46E2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21" w:rsidRDefault="00344421">
      <w:r>
        <w:separator/>
      </w:r>
    </w:p>
  </w:footnote>
  <w:footnote w:type="continuationSeparator" w:id="0">
    <w:p w:rsidR="00344421" w:rsidRDefault="0034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B0C" w:rsidRPr="007A2143" w:rsidRDefault="00997B0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997B0C" w:rsidRPr="007A2143" w:rsidTr="007A2143"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997B0C" w:rsidRPr="007A2143" w:rsidRDefault="00997B0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691743741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97B0C" w:rsidRPr="007A2143" w:rsidTr="007A2143"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997B0C" w:rsidRPr="007A2143" w:rsidTr="007A2143"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0317731</w:t>
          </w:r>
        </w:p>
      </w:tc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ภาวะผู้นำทางเทคโนโลยีและสื่อสารการศึกษา</w:t>
          </w:r>
        </w:p>
      </w:tc>
    </w:tr>
  </w:tbl>
  <w:p w:rsidR="00997B0C" w:rsidRPr="00B7254E" w:rsidRDefault="00344421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97B0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94ED4" w:rsidRPr="00F94ED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6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97B0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B0C" w:rsidRPr="00B7254E" w:rsidRDefault="00344421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997B0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97B0C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97B0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63A28"/>
    <w:rsid w:val="00082B5C"/>
    <w:rsid w:val="000904EE"/>
    <w:rsid w:val="00093F90"/>
    <w:rsid w:val="0009452D"/>
    <w:rsid w:val="000A2D8F"/>
    <w:rsid w:val="000A7746"/>
    <w:rsid w:val="000E6455"/>
    <w:rsid w:val="000F53F7"/>
    <w:rsid w:val="000F678D"/>
    <w:rsid w:val="00101CE0"/>
    <w:rsid w:val="00142BE2"/>
    <w:rsid w:val="00155C86"/>
    <w:rsid w:val="00163762"/>
    <w:rsid w:val="00180718"/>
    <w:rsid w:val="00195474"/>
    <w:rsid w:val="001967E7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44421"/>
    <w:rsid w:val="0035133E"/>
    <w:rsid w:val="003653D7"/>
    <w:rsid w:val="00381A42"/>
    <w:rsid w:val="0038676C"/>
    <w:rsid w:val="003F3A62"/>
    <w:rsid w:val="003F7719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0906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5A177A"/>
    <w:rsid w:val="00612716"/>
    <w:rsid w:val="00613F1A"/>
    <w:rsid w:val="00617A75"/>
    <w:rsid w:val="00626C6C"/>
    <w:rsid w:val="006342E0"/>
    <w:rsid w:val="00645EB1"/>
    <w:rsid w:val="00667A01"/>
    <w:rsid w:val="0068172D"/>
    <w:rsid w:val="00694E37"/>
    <w:rsid w:val="006A3084"/>
    <w:rsid w:val="006C0411"/>
    <w:rsid w:val="006C192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D680F"/>
    <w:rsid w:val="007E53F2"/>
    <w:rsid w:val="007F2A7C"/>
    <w:rsid w:val="007F45BD"/>
    <w:rsid w:val="007F61CC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97B0C"/>
    <w:rsid w:val="009A3801"/>
    <w:rsid w:val="009A7BB0"/>
    <w:rsid w:val="009E73E0"/>
    <w:rsid w:val="00A04B3B"/>
    <w:rsid w:val="00A139BD"/>
    <w:rsid w:val="00A24A3D"/>
    <w:rsid w:val="00A25F96"/>
    <w:rsid w:val="00A315A9"/>
    <w:rsid w:val="00A807F0"/>
    <w:rsid w:val="00AA5DF8"/>
    <w:rsid w:val="00AD18E0"/>
    <w:rsid w:val="00AD3B47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E7B1E"/>
    <w:rsid w:val="00BF0AE1"/>
    <w:rsid w:val="00C53773"/>
    <w:rsid w:val="00C62925"/>
    <w:rsid w:val="00C74FBA"/>
    <w:rsid w:val="00CC6622"/>
    <w:rsid w:val="00CF0299"/>
    <w:rsid w:val="00CF171D"/>
    <w:rsid w:val="00CF4946"/>
    <w:rsid w:val="00CF5558"/>
    <w:rsid w:val="00D0578C"/>
    <w:rsid w:val="00D12BD4"/>
    <w:rsid w:val="00D203D0"/>
    <w:rsid w:val="00D30FC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41816"/>
    <w:rsid w:val="00F55079"/>
    <w:rsid w:val="00F71031"/>
    <w:rsid w:val="00F72974"/>
    <w:rsid w:val="00F94ED4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C56B4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6342E0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6342E0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634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55EE-2FC7-4C3B-8288-40691B50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2</cp:revision>
  <cp:lastPrinted>2022-06-29T09:34:00Z</cp:lastPrinted>
  <dcterms:created xsi:type="dcterms:W3CDTF">2024-08-10T02:15:00Z</dcterms:created>
  <dcterms:modified xsi:type="dcterms:W3CDTF">2024-08-10T02:15:00Z</dcterms:modified>
</cp:coreProperties>
</file>